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991" w:rsidRPr="00167991" w:rsidRDefault="00167991" w:rsidP="00F650AF">
      <w:pPr>
        <w:spacing w:line="276" w:lineRule="auto"/>
        <w:rPr>
          <w:vertAlign w:val="superscript"/>
          <w:lang w:val="en-GB"/>
        </w:rPr>
      </w:pPr>
      <w:r w:rsidRPr="00167991">
        <w:rPr>
          <w:b/>
        </w:rPr>
        <w:t xml:space="preserve">Supplementary material for: </w:t>
      </w:r>
      <w:r w:rsidRPr="00167991">
        <w:rPr>
          <w:lang w:val="en-GB"/>
        </w:rPr>
        <w:t xml:space="preserve">Tryland M., Balboni A., Killengreen S.T., Mørk T., Nielsen O., Yoccoz N., Ims R.A. &amp; Fuglei E. </w:t>
      </w:r>
      <w:r w:rsidRPr="000F4D12">
        <w:rPr>
          <w:lang w:val="en-GB"/>
        </w:rPr>
        <w:t xml:space="preserve">A screening for </w:t>
      </w:r>
      <w:r>
        <w:rPr>
          <w:lang w:val="en-GB"/>
        </w:rPr>
        <w:t>c</w:t>
      </w:r>
      <w:r w:rsidRPr="000F4D12">
        <w:rPr>
          <w:lang w:val="en-GB"/>
        </w:rPr>
        <w:t xml:space="preserve">anine distemper virus, </w:t>
      </w:r>
      <w:r>
        <w:rPr>
          <w:lang w:val="en-GB"/>
        </w:rPr>
        <w:t>c</w:t>
      </w:r>
      <w:r w:rsidRPr="000F4D12">
        <w:rPr>
          <w:lang w:val="en-GB"/>
        </w:rPr>
        <w:t xml:space="preserve">anine adenovirus </w:t>
      </w:r>
      <w:r>
        <w:rPr>
          <w:lang w:val="en-GB"/>
        </w:rPr>
        <w:t>and c</w:t>
      </w:r>
      <w:r w:rsidRPr="000F4D12">
        <w:rPr>
          <w:lang w:val="en-GB"/>
        </w:rPr>
        <w:t xml:space="preserve">arnivore protoparvoviruses </w:t>
      </w:r>
      <w:r>
        <w:rPr>
          <w:lang w:val="en-GB"/>
        </w:rPr>
        <w:t>in A</w:t>
      </w:r>
      <w:r w:rsidRPr="000F4D12">
        <w:rPr>
          <w:lang w:val="en-GB"/>
        </w:rPr>
        <w:t>rctic foxes (</w:t>
      </w:r>
      <w:r w:rsidRPr="000F4D12">
        <w:rPr>
          <w:i/>
          <w:lang w:val="en-GB"/>
        </w:rPr>
        <w:t>Vulpes lagopus</w:t>
      </w:r>
      <w:r w:rsidRPr="000F4D12">
        <w:rPr>
          <w:lang w:val="en-GB"/>
        </w:rPr>
        <w:t>) and red foxes (</w:t>
      </w:r>
      <w:r w:rsidRPr="000F4D12">
        <w:rPr>
          <w:i/>
          <w:lang w:val="en-GB"/>
        </w:rPr>
        <w:t>Vulpes vulpes</w:t>
      </w:r>
      <w:r w:rsidRPr="000F4D12">
        <w:rPr>
          <w:lang w:val="en-GB"/>
        </w:rPr>
        <w:t xml:space="preserve">) from </w:t>
      </w:r>
      <w:r>
        <w:rPr>
          <w:lang w:val="en-GB"/>
        </w:rPr>
        <w:t>Arctic and sub-A</w:t>
      </w:r>
      <w:r w:rsidRPr="000F4D12">
        <w:rPr>
          <w:lang w:val="en-GB"/>
        </w:rPr>
        <w:t>rctic regions of</w:t>
      </w:r>
      <w:r>
        <w:rPr>
          <w:lang w:val="en-GB"/>
        </w:rPr>
        <w:t xml:space="preserve"> Norway</w:t>
      </w:r>
    </w:p>
    <w:p w:rsidR="00167991" w:rsidRPr="00167991" w:rsidRDefault="00167991" w:rsidP="00F650AF">
      <w:pPr>
        <w:widowControl w:val="0"/>
        <w:autoSpaceDE w:val="0"/>
        <w:autoSpaceDN w:val="0"/>
        <w:adjustRightInd w:val="0"/>
        <w:spacing w:line="276" w:lineRule="auto"/>
        <w:rPr>
          <w:u w:val="single"/>
          <w:lang w:val="en-GB"/>
        </w:rPr>
      </w:pPr>
      <w:r w:rsidRPr="00445D9F">
        <w:rPr>
          <w:bCs/>
          <w:i/>
        </w:rPr>
        <w:t xml:space="preserve">Polar </w:t>
      </w:r>
      <w:r w:rsidRPr="008661D0">
        <w:rPr>
          <w:bCs/>
          <w:i/>
        </w:rPr>
        <w:t>Research 37.</w:t>
      </w:r>
      <w:r w:rsidRPr="00167991">
        <w:rPr>
          <w:lang w:val="en-GB"/>
        </w:rPr>
        <w:t xml:space="preserve"> </w:t>
      </w:r>
      <w:r w:rsidRPr="000F4D12">
        <w:rPr>
          <w:lang w:val="en-GB"/>
        </w:rPr>
        <w:t>Contact</w:t>
      </w:r>
      <w:r>
        <w:rPr>
          <w:lang w:val="en-GB"/>
        </w:rPr>
        <w:t>:</w:t>
      </w:r>
      <w:r w:rsidRPr="000F4D12">
        <w:rPr>
          <w:lang w:val="en-GB"/>
        </w:rPr>
        <w:t xml:space="preserve"> </w:t>
      </w:r>
      <w:r w:rsidRPr="000F4D12">
        <w:rPr>
          <w:rFonts w:cs="Tahoma"/>
          <w:lang w:val="en-GB"/>
        </w:rPr>
        <w:t>Morten Tryland, UiT</w:t>
      </w:r>
      <w:r>
        <w:rPr>
          <w:rFonts w:cs="Tahoma"/>
          <w:lang w:val="en-GB"/>
        </w:rPr>
        <w:t>—</w:t>
      </w:r>
      <w:r w:rsidRPr="000F4D12">
        <w:rPr>
          <w:rFonts w:cs="Tahoma"/>
          <w:lang w:val="en-GB"/>
        </w:rPr>
        <w:t>The Arctic University of Norway, Department of Arctic and Marine Biology, Arctic Infection Biology, Stakkevollveien 23, NO-9010 Tromsø, Norway</w:t>
      </w:r>
      <w:r>
        <w:rPr>
          <w:rFonts w:cs="Tahoma"/>
          <w:lang w:val="en-GB"/>
        </w:rPr>
        <w:t>.</w:t>
      </w:r>
      <w:r>
        <w:rPr>
          <w:lang w:val="en-GB"/>
        </w:rPr>
        <w:t xml:space="preserve"> </w:t>
      </w:r>
      <w:r w:rsidRPr="000F4D12">
        <w:rPr>
          <w:rFonts w:cs="Tahoma"/>
          <w:lang w:val="en-GB"/>
        </w:rPr>
        <w:t>E-mail</w:t>
      </w:r>
      <w:r w:rsidRPr="00167991">
        <w:rPr>
          <w:rFonts w:cs="Tahoma"/>
          <w:lang w:val="en-GB"/>
        </w:rPr>
        <w:t>: </w:t>
      </w:r>
      <w:hyperlink r:id="rId4" w:history="1">
        <w:r w:rsidRPr="00167991">
          <w:rPr>
            <w:rFonts w:cs="Tahoma"/>
            <w:lang w:val="en-GB"/>
          </w:rPr>
          <w:t>morten.tryland@uit.no</w:t>
        </w:r>
      </w:hyperlink>
      <w:r w:rsidRPr="00167991">
        <w:rPr>
          <w:rFonts w:cs="Tahoma"/>
          <w:lang w:val="en-GB"/>
        </w:rPr>
        <w:t>.</w:t>
      </w:r>
    </w:p>
    <w:p w:rsidR="00167991" w:rsidRDefault="00167991"/>
    <w:p w:rsidR="00167991" w:rsidRDefault="00167991"/>
    <w:p w:rsidR="00A72E4E" w:rsidRDefault="00167991" w:rsidP="00F650AF">
      <w:pPr>
        <w:autoSpaceDE w:val="0"/>
        <w:autoSpaceDN w:val="0"/>
        <w:adjustRightInd w:val="0"/>
        <w:spacing w:line="276" w:lineRule="auto"/>
        <w:rPr>
          <w:lang w:val="en-US"/>
        </w:rPr>
      </w:pPr>
      <w:r w:rsidRPr="00167991">
        <w:rPr>
          <w:b/>
          <w:lang w:val="en-US"/>
        </w:rPr>
        <w:t>Supplementary Table S</w:t>
      </w:r>
      <w:r w:rsidR="00EC6F76" w:rsidRPr="00167991">
        <w:rPr>
          <w:b/>
          <w:lang w:val="en-US"/>
        </w:rPr>
        <w:t>1.</w:t>
      </w:r>
      <w:r w:rsidR="00EC6F76">
        <w:rPr>
          <w:lang w:val="en-US"/>
        </w:rPr>
        <w:t xml:space="preserve"> </w:t>
      </w:r>
      <w:r w:rsidR="00A72E4E" w:rsidRPr="005214B2">
        <w:rPr>
          <w:lang w:val="en-US"/>
        </w:rPr>
        <w:t xml:space="preserve">Estimates from the selected </w:t>
      </w:r>
      <w:r w:rsidR="00A72E4E">
        <w:rPr>
          <w:lang w:val="en-US"/>
        </w:rPr>
        <w:t>logistic regression models related to the</w:t>
      </w:r>
      <w:r w:rsidR="00A72E4E" w:rsidRPr="005214B2">
        <w:rPr>
          <w:lang w:val="en-US"/>
        </w:rPr>
        <w:t xml:space="preserve"> </w:t>
      </w:r>
      <w:r w:rsidR="00F650AF">
        <w:rPr>
          <w:lang w:val="en-US"/>
        </w:rPr>
        <w:t>exposure of A</w:t>
      </w:r>
      <w:r w:rsidR="00A72E4E">
        <w:rPr>
          <w:lang w:val="en-US"/>
        </w:rPr>
        <w:t>rctic fox (</w:t>
      </w:r>
      <w:r w:rsidR="00A72E4E" w:rsidRPr="00E20ED0">
        <w:rPr>
          <w:i/>
          <w:lang w:val="en-US"/>
        </w:rPr>
        <w:t>Vulpes lagopus</w:t>
      </w:r>
      <w:r w:rsidR="00A72E4E">
        <w:rPr>
          <w:lang w:val="en-US"/>
        </w:rPr>
        <w:t>) and red foxes (</w:t>
      </w:r>
      <w:r w:rsidR="00A72E4E" w:rsidRPr="00E20ED0">
        <w:rPr>
          <w:i/>
          <w:lang w:val="en-US"/>
        </w:rPr>
        <w:t>Vulpes vulpes</w:t>
      </w:r>
      <w:r w:rsidR="00A72E4E">
        <w:rPr>
          <w:lang w:val="en-US"/>
        </w:rPr>
        <w:t xml:space="preserve">) to canine adenovirus (CAdV). </w:t>
      </w:r>
      <w:r w:rsidR="00A72E4E" w:rsidRPr="005214B2">
        <w:rPr>
          <w:lang w:val="en-US"/>
        </w:rPr>
        <w:t xml:space="preserve">Significant coefficients are highlighted in </w:t>
      </w:r>
      <w:r w:rsidR="00A72E4E" w:rsidRPr="009D1DEE">
        <w:rPr>
          <w:lang w:val="en-US"/>
        </w:rPr>
        <w:t>bold</w:t>
      </w:r>
      <w:r w:rsidRPr="009D1DEE">
        <w:rPr>
          <w:lang w:val="en-US"/>
        </w:rPr>
        <w:t>face</w:t>
      </w:r>
      <w:r w:rsidR="00A72E4E" w:rsidRPr="009D1DEE">
        <w:rPr>
          <w:lang w:val="en-US"/>
        </w:rPr>
        <w:t>.</w:t>
      </w:r>
    </w:p>
    <w:p w:rsidR="00A72E4E" w:rsidRDefault="00A72E4E" w:rsidP="00A72E4E">
      <w:pPr>
        <w:autoSpaceDE w:val="0"/>
        <w:autoSpaceDN w:val="0"/>
        <w:adjustRightInd w:val="0"/>
        <w:spacing w:line="360" w:lineRule="auto"/>
        <w:rPr>
          <w:lang w:val="en-US"/>
        </w:rPr>
      </w:pPr>
    </w:p>
    <w:tbl>
      <w:tblPr>
        <w:tblStyle w:val="PlainTable21"/>
        <w:tblW w:w="8215" w:type="dxa"/>
        <w:tblLook w:val="0620" w:firstRow="1" w:lastRow="0" w:firstColumn="0" w:lastColumn="0" w:noHBand="1" w:noVBand="1"/>
      </w:tblPr>
      <w:tblGrid>
        <w:gridCol w:w="3681"/>
        <w:gridCol w:w="986"/>
        <w:gridCol w:w="1275"/>
        <w:gridCol w:w="1276"/>
        <w:gridCol w:w="997"/>
      </w:tblGrid>
      <w:tr w:rsidR="00A72E4E" w:rsidRPr="00176850" w:rsidTr="00F65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681" w:type="dxa"/>
            <w:tcBorders>
              <w:top w:val="single" w:sz="4" w:space="0" w:color="7F7F7F" w:themeColor="text1" w:themeTint="80"/>
            </w:tcBorders>
            <w:noWrap/>
            <w:hideMark/>
          </w:tcPr>
          <w:p w:rsidR="00A72E4E" w:rsidRPr="00F06049" w:rsidRDefault="00A72E4E" w:rsidP="00D36B41">
            <w:pPr>
              <w:spacing w:line="276" w:lineRule="auto"/>
              <w:rPr>
                <w:lang w:eastAsia="nb-NO"/>
              </w:rPr>
            </w:pPr>
          </w:p>
        </w:tc>
        <w:tc>
          <w:tcPr>
            <w:tcW w:w="986" w:type="dxa"/>
            <w:tcBorders>
              <w:top w:val="single" w:sz="4" w:space="0" w:color="7F7F7F" w:themeColor="text1" w:themeTint="80"/>
            </w:tcBorders>
            <w:noWrap/>
            <w:hideMark/>
          </w:tcPr>
          <w:p w:rsidR="00A72E4E" w:rsidRPr="00167991" w:rsidRDefault="00A72E4E" w:rsidP="00D36B41">
            <w:pPr>
              <w:spacing w:line="276" w:lineRule="auto"/>
              <w:jc w:val="center"/>
              <w:rPr>
                <w:b w:val="0"/>
                <w:color w:val="000000"/>
                <w:lang w:eastAsia="nb-NO"/>
              </w:rPr>
            </w:pPr>
            <w:r w:rsidRPr="00167991">
              <w:rPr>
                <w:b w:val="0"/>
                <w:color w:val="000000"/>
                <w:lang w:eastAsia="nb-NO"/>
              </w:rPr>
              <w:t>Estimate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</w:tcBorders>
            <w:noWrap/>
            <w:hideMark/>
          </w:tcPr>
          <w:p w:rsidR="00A72E4E" w:rsidRPr="00167991" w:rsidRDefault="00A72E4E" w:rsidP="00D36B41">
            <w:pPr>
              <w:spacing w:line="276" w:lineRule="auto"/>
              <w:jc w:val="center"/>
              <w:rPr>
                <w:b w:val="0"/>
                <w:color w:val="000000"/>
                <w:lang w:eastAsia="nb-NO"/>
              </w:rPr>
            </w:pPr>
            <w:r w:rsidRPr="00167991">
              <w:rPr>
                <w:b w:val="0"/>
                <w:color w:val="000000"/>
                <w:lang w:eastAsia="nb-NO"/>
              </w:rPr>
              <w:t xml:space="preserve">Std. </w:t>
            </w:r>
            <w:r w:rsidR="00167991" w:rsidRPr="00167991">
              <w:rPr>
                <w:b w:val="0"/>
                <w:color w:val="000000"/>
                <w:lang w:eastAsia="nb-NO"/>
              </w:rPr>
              <w:t>e</w:t>
            </w:r>
            <w:r w:rsidRPr="00167991">
              <w:rPr>
                <w:b w:val="0"/>
                <w:color w:val="000000"/>
                <w:lang w:eastAsia="nb-NO"/>
              </w:rPr>
              <w:t>rror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</w:tcBorders>
            <w:noWrap/>
            <w:hideMark/>
          </w:tcPr>
          <w:p w:rsidR="00A72E4E" w:rsidRPr="00167991" w:rsidRDefault="00167991" w:rsidP="008D3CBC">
            <w:pPr>
              <w:spacing w:line="276" w:lineRule="auto"/>
              <w:ind w:left="187"/>
              <w:jc w:val="center"/>
              <w:rPr>
                <w:b w:val="0"/>
                <w:color w:val="000000"/>
                <w:lang w:eastAsia="nb-NO"/>
              </w:rPr>
            </w:pPr>
            <w:r w:rsidRPr="00167991">
              <w:rPr>
                <w:b w:val="0"/>
                <w:color w:val="000000"/>
                <w:lang w:eastAsia="nb-NO"/>
              </w:rPr>
              <w:t>Z  v</w:t>
            </w:r>
            <w:r w:rsidR="00A72E4E" w:rsidRPr="00167991">
              <w:rPr>
                <w:b w:val="0"/>
                <w:color w:val="000000"/>
                <w:lang w:eastAsia="nb-NO"/>
              </w:rPr>
              <w:t>alue</w:t>
            </w:r>
          </w:p>
        </w:tc>
        <w:tc>
          <w:tcPr>
            <w:tcW w:w="997" w:type="dxa"/>
            <w:tcBorders>
              <w:top w:val="single" w:sz="4" w:space="0" w:color="7F7F7F" w:themeColor="text1" w:themeTint="80"/>
            </w:tcBorders>
            <w:noWrap/>
            <w:hideMark/>
          </w:tcPr>
          <w:p w:rsidR="00A72E4E" w:rsidRPr="00167991" w:rsidRDefault="00167991" w:rsidP="00D36B41">
            <w:pPr>
              <w:spacing w:line="276" w:lineRule="auto"/>
              <w:jc w:val="center"/>
              <w:rPr>
                <w:b w:val="0"/>
                <w:i/>
                <w:color w:val="000000"/>
                <w:lang w:eastAsia="nb-NO"/>
              </w:rPr>
            </w:pPr>
            <w:r w:rsidRPr="00167991">
              <w:rPr>
                <w:b w:val="0"/>
                <w:i/>
                <w:color w:val="000000"/>
                <w:lang w:eastAsia="nb-NO"/>
              </w:rPr>
              <w:t>p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67991" w:rsidRDefault="00167991" w:rsidP="00D36B41">
            <w:pPr>
              <w:spacing w:line="276" w:lineRule="auto"/>
              <w:rPr>
                <w:color w:val="000000"/>
                <w:lang w:eastAsia="nb-NO"/>
              </w:rPr>
            </w:pPr>
            <w:r>
              <w:rPr>
                <w:color w:val="000000"/>
                <w:lang w:eastAsia="nb-NO"/>
              </w:rPr>
              <w:t>(</w:t>
            </w:r>
            <w:r w:rsidR="00A72E4E" w:rsidRPr="00167991">
              <w:rPr>
                <w:color w:val="000000"/>
                <w:lang w:eastAsia="nb-NO"/>
              </w:rPr>
              <w:t>a) Arctic fox</w:t>
            </w:r>
          </w:p>
        </w:tc>
        <w:tc>
          <w:tcPr>
            <w:tcW w:w="986" w:type="dxa"/>
            <w:noWrap/>
          </w:tcPr>
          <w:p w:rsidR="00A72E4E" w:rsidRPr="00167991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</w:p>
        </w:tc>
        <w:tc>
          <w:tcPr>
            <w:tcW w:w="1275" w:type="dxa"/>
            <w:noWrap/>
          </w:tcPr>
          <w:p w:rsidR="00A72E4E" w:rsidRPr="00167991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</w:p>
        </w:tc>
        <w:tc>
          <w:tcPr>
            <w:tcW w:w="1276" w:type="dxa"/>
            <w:noWrap/>
          </w:tcPr>
          <w:p w:rsidR="00A72E4E" w:rsidRPr="00167991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</w:p>
        </w:tc>
        <w:tc>
          <w:tcPr>
            <w:tcW w:w="997" w:type="dxa"/>
            <w:noWrap/>
          </w:tcPr>
          <w:p w:rsidR="00A72E4E" w:rsidRPr="00167991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Intercept</w:t>
            </w:r>
          </w:p>
        </w:tc>
        <w:tc>
          <w:tcPr>
            <w:tcW w:w="986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-0.838</w:t>
            </w:r>
          </w:p>
        </w:tc>
        <w:tc>
          <w:tcPr>
            <w:tcW w:w="1275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0.2016</w:t>
            </w:r>
          </w:p>
        </w:tc>
        <w:tc>
          <w:tcPr>
            <w:tcW w:w="1276" w:type="dxa"/>
            <w:noWrap/>
          </w:tcPr>
          <w:p w:rsidR="00A72E4E" w:rsidRPr="00F06049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</w:p>
        </w:tc>
        <w:tc>
          <w:tcPr>
            <w:tcW w:w="997" w:type="dxa"/>
            <w:noWrap/>
          </w:tcPr>
          <w:p w:rsidR="00A72E4E" w:rsidRPr="00F06049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rPr>
                <w:color w:val="000000"/>
                <w:lang w:eastAsia="nb-NO"/>
              </w:rPr>
            </w:pPr>
            <w:r w:rsidRPr="00F06049">
              <w:rPr>
                <w:color w:val="000000"/>
                <w:lang w:eastAsia="nb-NO"/>
              </w:rPr>
              <w:t>Scale</w:t>
            </w:r>
            <w:r>
              <w:rPr>
                <w:color w:val="000000"/>
                <w:lang w:eastAsia="nb-NO"/>
              </w:rPr>
              <w:t xml:space="preserve"> </w:t>
            </w:r>
            <w:r w:rsidRPr="00F06049">
              <w:rPr>
                <w:color w:val="000000"/>
                <w:lang w:eastAsia="nb-NO"/>
              </w:rPr>
              <w:t>(Age)</w:t>
            </w:r>
          </w:p>
        </w:tc>
        <w:tc>
          <w:tcPr>
            <w:tcW w:w="986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0.0703</w:t>
            </w:r>
          </w:p>
        </w:tc>
        <w:tc>
          <w:tcPr>
            <w:tcW w:w="1275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0.1254</w:t>
            </w:r>
          </w:p>
        </w:tc>
        <w:tc>
          <w:tcPr>
            <w:tcW w:w="1276" w:type="dxa"/>
            <w:noWrap/>
            <w:hideMark/>
          </w:tcPr>
          <w:p w:rsidR="00A72E4E" w:rsidRPr="00F06049" w:rsidRDefault="00A72E4E" w:rsidP="008D3CBC">
            <w:pPr>
              <w:spacing w:line="276" w:lineRule="auto"/>
              <w:ind w:right="164"/>
              <w:jc w:val="right"/>
              <w:rPr>
                <w:color w:val="000000"/>
                <w:lang w:eastAsia="nb-NO"/>
              </w:rPr>
            </w:pPr>
            <w:r w:rsidRPr="00F06049">
              <w:rPr>
                <w:color w:val="000000"/>
                <w:lang w:eastAsia="nb-NO"/>
              </w:rPr>
              <w:t>-0.561</w:t>
            </w:r>
          </w:p>
        </w:tc>
        <w:tc>
          <w:tcPr>
            <w:tcW w:w="997" w:type="dxa"/>
            <w:noWrap/>
            <w:hideMark/>
          </w:tcPr>
          <w:p w:rsidR="00A72E4E" w:rsidRPr="00F06049" w:rsidRDefault="00A72E4E" w:rsidP="008D3CBC">
            <w:pPr>
              <w:spacing w:line="276" w:lineRule="auto"/>
              <w:ind w:left="-238"/>
              <w:jc w:val="center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0.575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Scale</w:t>
            </w:r>
            <w:r>
              <w:rPr>
                <w:b/>
                <w:color w:val="000000"/>
                <w:lang w:eastAsia="nb-NO"/>
              </w:rPr>
              <w:t xml:space="preserve"> </w:t>
            </w:r>
            <w:r w:rsidRPr="00176850">
              <w:rPr>
                <w:b/>
                <w:color w:val="000000"/>
                <w:lang w:eastAsia="nb-NO"/>
              </w:rPr>
              <w:t>(</w:t>
            </w:r>
            <w:r>
              <w:rPr>
                <w:b/>
                <w:color w:val="000000"/>
                <w:lang w:eastAsia="nb-NO"/>
              </w:rPr>
              <w:t>Season</w:t>
            </w:r>
            <w:r w:rsidRPr="00176850">
              <w:rPr>
                <w:b/>
                <w:color w:val="000000"/>
                <w:lang w:eastAsia="nb-NO"/>
              </w:rPr>
              <w:t>)</w:t>
            </w:r>
            <w:r w:rsidR="00F650AF">
              <w:rPr>
                <w:b/>
                <w:color w:val="000000"/>
                <w:lang w:eastAsia="nb-NO"/>
              </w:rPr>
              <w:t xml:space="preserve"> </w:t>
            </w:r>
            <w:r w:rsidR="00167991" w:rsidRPr="00167991">
              <w:rPr>
                <w:color w:val="000000"/>
                <w:vertAlign w:val="superscript"/>
                <w:lang w:eastAsia="nb-NO"/>
              </w:rPr>
              <w:t>a</w:t>
            </w:r>
          </w:p>
        </w:tc>
        <w:tc>
          <w:tcPr>
            <w:tcW w:w="986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0.2148</w:t>
            </w:r>
          </w:p>
        </w:tc>
        <w:tc>
          <w:tcPr>
            <w:tcW w:w="1275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0.0578</w:t>
            </w:r>
          </w:p>
        </w:tc>
        <w:tc>
          <w:tcPr>
            <w:tcW w:w="1276" w:type="dxa"/>
            <w:noWrap/>
          </w:tcPr>
          <w:p w:rsidR="00A72E4E" w:rsidRPr="00F06049" w:rsidRDefault="00A72E4E" w:rsidP="008D3CBC">
            <w:pPr>
              <w:spacing w:line="276" w:lineRule="auto"/>
              <w:ind w:right="164"/>
              <w:jc w:val="right"/>
              <w:rPr>
                <w:b/>
                <w:color w:val="000000"/>
                <w:lang w:eastAsia="nb-NO"/>
              </w:rPr>
            </w:pPr>
            <w:r w:rsidRPr="00F06049">
              <w:rPr>
                <w:b/>
                <w:color w:val="000000"/>
                <w:lang w:eastAsia="nb-NO"/>
              </w:rPr>
              <w:t>3.713</w:t>
            </w:r>
          </w:p>
        </w:tc>
        <w:tc>
          <w:tcPr>
            <w:tcW w:w="997" w:type="dxa"/>
            <w:noWrap/>
          </w:tcPr>
          <w:p w:rsidR="00A72E4E" w:rsidRPr="00F06049" w:rsidRDefault="00A72E4E" w:rsidP="008D3CBC">
            <w:pPr>
              <w:spacing w:line="276" w:lineRule="auto"/>
              <w:ind w:left="-238"/>
              <w:jc w:val="center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0.000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Scale</w:t>
            </w:r>
            <w:r>
              <w:rPr>
                <w:b/>
                <w:color w:val="000000"/>
                <w:lang w:eastAsia="nb-NO"/>
              </w:rPr>
              <w:t xml:space="preserve"> </w:t>
            </w:r>
            <w:r w:rsidRPr="00F06049">
              <w:rPr>
                <w:b/>
                <w:color w:val="000000"/>
                <w:lang w:eastAsia="nb-NO"/>
              </w:rPr>
              <w:t>(</w:t>
            </w:r>
            <w:r>
              <w:rPr>
                <w:b/>
                <w:color w:val="000000"/>
                <w:lang w:eastAsia="nb-NO"/>
              </w:rPr>
              <w:t>Season</w:t>
            </w:r>
            <w:r w:rsidR="00167991">
              <w:rPr>
                <w:b/>
                <w:color w:val="000000"/>
                <w:lang w:eastAsia="nb-NO"/>
              </w:rPr>
              <w:t>)</w:t>
            </w:r>
            <w:r w:rsidR="00F650AF">
              <w:rPr>
                <w:b/>
                <w:color w:val="000000"/>
                <w:lang w:eastAsia="nb-NO"/>
              </w:rPr>
              <w:t xml:space="preserve"> </w:t>
            </w:r>
            <w:r w:rsidR="00167991" w:rsidRPr="00167991">
              <w:rPr>
                <w:color w:val="000000"/>
                <w:vertAlign w:val="superscript"/>
                <w:lang w:eastAsia="nb-NO"/>
              </w:rPr>
              <w:t>b</w:t>
            </w:r>
          </w:p>
        </w:tc>
        <w:tc>
          <w:tcPr>
            <w:tcW w:w="986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0.099</w:t>
            </w:r>
          </w:p>
        </w:tc>
        <w:tc>
          <w:tcPr>
            <w:tcW w:w="1275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F06049">
              <w:rPr>
                <w:b/>
                <w:color w:val="000000"/>
                <w:lang w:eastAsia="nb-NO"/>
              </w:rPr>
              <w:t>0.0351</w:t>
            </w:r>
          </w:p>
        </w:tc>
        <w:tc>
          <w:tcPr>
            <w:tcW w:w="1276" w:type="dxa"/>
            <w:noWrap/>
          </w:tcPr>
          <w:p w:rsidR="00A72E4E" w:rsidRPr="00F06049" w:rsidRDefault="00A72E4E" w:rsidP="008D3CBC">
            <w:pPr>
              <w:spacing w:line="276" w:lineRule="auto"/>
              <w:ind w:right="164"/>
              <w:jc w:val="right"/>
              <w:rPr>
                <w:b/>
                <w:color w:val="000000"/>
                <w:lang w:eastAsia="nb-NO"/>
              </w:rPr>
            </w:pPr>
            <w:r w:rsidRPr="00F06049">
              <w:rPr>
                <w:b/>
                <w:color w:val="000000"/>
                <w:lang w:eastAsia="nb-NO"/>
              </w:rPr>
              <w:t>2.809</w:t>
            </w:r>
          </w:p>
        </w:tc>
        <w:tc>
          <w:tcPr>
            <w:tcW w:w="997" w:type="dxa"/>
            <w:noWrap/>
          </w:tcPr>
          <w:p w:rsidR="00A72E4E" w:rsidRPr="00F06049" w:rsidRDefault="00A72E4E" w:rsidP="008D3CBC">
            <w:pPr>
              <w:spacing w:line="276" w:lineRule="auto"/>
              <w:ind w:left="-238"/>
              <w:jc w:val="center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0.005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lang w:val="en-US"/>
              </w:rPr>
            </w:pPr>
          </w:p>
        </w:tc>
        <w:tc>
          <w:tcPr>
            <w:tcW w:w="986" w:type="dxa"/>
            <w:noWrap/>
          </w:tcPr>
          <w:p w:rsidR="00A72E4E" w:rsidRPr="00F06049" w:rsidRDefault="00A72E4E" w:rsidP="00D36B41">
            <w:pPr>
              <w:spacing w:line="276" w:lineRule="auto"/>
              <w:rPr>
                <w:color w:val="000000"/>
                <w:lang w:val="en-US" w:eastAsia="nb-NO"/>
              </w:rPr>
            </w:pPr>
          </w:p>
        </w:tc>
        <w:tc>
          <w:tcPr>
            <w:tcW w:w="1275" w:type="dxa"/>
            <w:noWrap/>
          </w:tcPr>
          <w:p w:rsidR="00A72E4E" w:rsidRPr="00F06049" w:rsidRDefault="00A72E4E" w:rsidP="00D36B41">
            <w:pPr>
              <w:spacing w:line="276" w:lineRule="auto"/>
              <w:rPr>
                <w:lang w:val="en-US" w:eastAsia="nb-NO"/>
              </w:rPr>
            </w:pPr>
          </w:p>
        </w:tc>
        <w:tc>
          <w:tcPr>
            <w:tcW w:w="1276" w:type="dxa"/>
            <w:noWrap/>
          </w:tcPr>
          <w:p w:rsidR="00A72E4E" w:rsidRPr="00F06049" w:rsidRDefault="00A72E4E" w:rsidP="008D3CBC">
            <w:pPr>
              <w:spacing w:line="276" w:lineRule="auto"/>
              <w:ind w:right="164"/>
              <w:rPr>
                <w:lang w:val="en-US" w:eastAsia="nb-NO"/>
              </w:rPr>
            </w:pPr>
          </w:p>
        </w:tc>
        <w:tc>
          <w:tcPr>
            <w:tcW w:w="997" w:type="dxa"/>
            <w:noWrap/>
          </w:tcPr>
          <w:p w:rsidR="00A72E4E" w:rsidRPr="00F06049" w:rsidRDefault="00A72E4E" w:rsidP="008D3CBC">
            <w:pPr>
              <w:spacing w:line="276" w:lineRule="auto"/>
              <w:ind w:left="-238"/>
              <w:jc w:val="center"/>
              <w:rPr>
                <w:lang w:val="en-US" w:eastAsia="nb-NO"/>
              </w:rPr>
            </w:pP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  <w:hideMark/>
          </w:tcPr>
          <w:p w:rsidR="00A72E4E" w:rsidRPr="00176850" w:rsidRDefault="00A72E4E" w:rsidP="00D36B41">
            <w:pPr>
              <w:spacing w:line="276" w:lineRule="auto"/>
              <w:rPr>
                <w:lang w:val="en-US"/>
              </w:rPr>
            </w:pPr>
            <w:r w:rsidRPr="00176850">
              <w:rPr>
                <w:lang w:val="en-US"/>
              </w:rPr>
              <w:t>Null deviance: 402.22 on 296  d.f</w:t>
            </w:r>
          </w:p>
          <w:p w:rsidR="00A72E4E" w:rsidRPr="00F06049" w:rsidRDefault="00A72E4E" w:rsidP="00D36B41">
            <w:pPr>
              <w:spacing w:line="276" w:lineRule="auto"/>
              <w:rPr>
                <w:color w:val="000000"/>
                <w:lang w:val="en-US" w:eastAsia="nb-NO"/>
              </w:rPr>
            </w:pPr>
            <w:r w:rsidRPr="00176850">
              <w:rPr>
                <w:lang w:val="en-US"/>
              </w:rPr>
              <w:t>Residual deviance: 380.44  on 293 d.f</w:t>
            </w:r>
          </w:p>
        </w:tc>
        <w:tc>
          <w:tcPr>
            <w:tcW w:w="986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rPr>
                <w:color w:val="000000"/>
                <w:lang w:val="en-US" w:eastAsia="nb-NO"/>
              </w:rPr>
            </w:pPr>
          </w:p>
        </w:tc>
        <w:tc>
          <w:tcPr>
            <w:tcW w:w="1275" w:type="dxa"/>
            <w:noWrap/>
            <w:hideMark/>
          </w:tcPr>
          <w:p w:rsidR="00A72E4E" w:rsidRPr="00F06049" w:rsidRDefault="00A72E4E" w:rsidP="00D36B41">
            <w:pPr>
              <w:spacing w:line="276" w:lineRule="auto"/>
              <w:rPr>
                <w:lang w:val="en-US" w:eastAsia="nb-NO"/>
              </w:rPr>
            </w:pPr>
          </w:p>
        </w:tc>
        <w:tc>
          <w:tcPr>
            <w:tcW w:w="1276" w:type="dxa"/>
            <w:noWrap/>
            <w:hideMark/>
          </w:tcPr>
          <w:p w:rsidR="00A72E4E" w:rsidRPr="00F06049" w:rsidRDefault="00A72E4E" w:rsidP="008D3CBC">
            <w:pPr>
              <w:spacing w:line="276" w:lineRule="auto"/>
              <w:ind w:right="164"/>
              <w:rPr>
                <w:lang w:val="en-US" w:eastAsia="nb-NO"/>
              </w:rPr>
            </w:pPr>
          </w:p>
        </w:tc>
        <w:tc>
          <w:tcPr>
            <w:tcW w:w="997" w:type="dxa"/>
            <w:noWrap/>
            <w:hideMark/>
          </w:tcPr>
          <w:p w:rsidR="00A72E4E" w:rsidRPr="00F06049" w:rsidRDefault="00A72E4E" w:rsidP="008D3CBC">
            <w:pPr>
              <w:spacing w:line="276" w:lineRule="auto"/>
              <w:ind w:left="-238"/>
              <w:jc w:val="center"/>
              <w:rPr>
                <w:lang w:val="en-US" w:eastAsia="nb-NO"/>
              </w:rPr>
            </w:pP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lang w:val="en-US"/>
              </w:rPr>
            </w:pPr>
          </w:p>
          <w:p w:rsidR="00A72E4E" w:rsidRPr="00167991" w:rsidRDefault="00167991" w:rsidP="00D36B41">
            <w:pPr>
              <w:spacing w:line="276" w:lineRule="auto"/>
              <w:rPr>
                <w:lang w:val="en-US"/>
              </w:rPr>
            </w:pPr>
            <w:r>
              <w:rPr>
                <w:color w:val="000000"/>
                <w:lang w:eastAsia="nb-NO"/>
              </w:rPr>
              <w:t>(</w:t>
            </w:r>
            <w:r w:rsidR="00A72E4E" w:rsidRPr="00167991">
              <w:rPr>
                <w:color w:val="000000"/>
                <w:lang w:eastAsia="nb-NO"/>
              </w:rPr>
              <w:t>b) Red fox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color w:val="000000"/>
                <w:lang w:val="en-US" w:eastAsia="nb-NO"/>
              </w:rPr>
            </w:pP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lang w:val="en-US" w:eastAsia="nb-NO"/>
              </w:rPr>
            </w:pPr>
          </w:p>
        </w:tc>
        <w:tc>
          <w:tcPr>
            <w:tcW w:w="1276" w:type="dxa"/>
            <w:noWrap/>
          </w:tcPr>
          <w:p w:rsidR="00A72E4E" w:rsidRPr="00176850" w:rsidRDefault="00A72E4E" w:rsidP="008D3CBC">
            <w:pPr>
              <w:spacing w:line="276" w:lineRule="auto"/>
              <w:ind w:right="164"/>
              <w:rPr>
                <w:lang w:val="en-US" w:eastAsia="nb-NO"/>
              </w:rPr>
            </w:pPr>
          </w:p>
        </w:tc>
        <w:tc>
          <w:tcPr>
            <w:tcW w:w="997" w:type="dxa"/>
            <w:noWrap/>
          </w:tcPr>
          <w:p w:rsidR="00A72E4E" w:rsidRPr="00176850" w:rsidRDefault="00A72E4E" w:rsidP="008D3CBC">
            <w:pPr>
              <w:spacing w:line="276" w:lineRule="auto"/>
              <w:ind w:left="-238"/>
              <w:jc w:val="center"/>
              <w:rPr>
                <w:lang w:val="en-US" w:eastAsia="nb-NO"/>
              </w:rPr>
            </w:pP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color w:val="000000"/>
                <w:lang w:val="en-US" w:eastAsia="nb-NO"/>
              </w:rPr>
            </w:pPr>
            <w:r w:rsidRPr="00176850">
              <w:rPr>
                <w:color w:val="000000"/>
                <w:lang w:val="en-US" w:eastAsia="nb-NO"/>
              </w:rPr>
              <w:t>Intercept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color w:val="000000"/>
                <w:lang w:val="en-US" w:eastAsia="nb-NO"/>
              </w:rPr>
            </w:pPr>
            <w:r w:rsidRPr="00176850">
              <w:rPr>
                <w:lang w:val="en-US"/>
              </w:rPr>
              <w:t xml:space="preserve">-0.380     </w:t>
            </w: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color w:val="000000"/>
                <w:lang w:val="en-US" w:eastAsia="nb-NO"/>
              </w:rPr>
            </w:pPr>
            <w:r w:rsidRPr="00176850">
              <w:rPr>
                <w:lang w:val="en-US"/>
              </w:rPr>
              <w:t>0.585</w:t>
            </w:r>
          </w:p>
        </w:tc>
        <w:tc>
          <w:tcPr>
            <w:tcW w:w="1276" w:type="dxa"/>
            <w:noWrap/>
          </w:tcPr>
          <w:p w:rsidR="00A72E4E" w:rsidRPr="00176850" w:rsidRDefault="00A72E4E" w:rsidP="008D3CBC">
            <w:pPr>
              <w:spacing w:line="276" w:lineRule="auto"/>
              <w:ind w:right="164"/>
              <w:jc w:val="right"/>
              <w:rPr>
                <w:color w:val="000000"/>
                <w:lang w:val="en-US" w:eastAsia="nb-NO"/>
              </w:rPr>
            </w:pPr>
          </w:p>
        </w:tc>
        <w:tc>
          <w:tcPr>
            <w:tcW w:w="997" w:type="dxa"/>
            <w:noWrap/>
          </w:tcPr>
          <w:p w:rsidR="00A72E4E" w:rsidRPr="00176850" w:rsidRDefault="00A72E4E" w:rsidP="008D3CBC">
            <w:pPr>
              <w:spacing w:line="276" w:lineRule="auto"/>
              <w:ind w:left="-238"/>
              <w:jc w:val="center"/>
              <w:rPr>
                <w:color w:val="000000"/>
                <w:lang w:val="en-US" w:eastAsia="nb-NO"/>
              </w:rPr>
            </w:pP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b/>
                <w:color w:val="000000"/>
                <w:lang w:val="en-US" w:eastAsia="nb-NO"/>
              </w:rPr>
            </w:pPr>
            <w:r>
              <w:rPr>
                <w:b/>
                <w:color w:val="000000"/>
                <w:lang w:val="en-US" w:eastAsia="nb-NO"/>
              </w:rPr>
              <w:t>Scale (Age</w:t>
            </w:r>
            <w:r w:rsidRPr="00176850">
              <w:rPr>
                <w:b/>
                <w:color w:val="000000"/>
                <w:lang w:val="en-US" w:eastAsia="nb-NO"/>
              </w:rPr>
              <w:t>)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val="en-US" w:eastAsia="nb-NO"/>
              </w:rPr>
            </w:pPr>
            <w:r w:rsidRPr="00176850">
              <w:rPr>
                <w:b/>
                <w:color w:val="000000"/>
                <w:lang w:val="en-US" w:eastAsia="nb-NO"/>
              </w:rPr>
              <w:t>0.348</w:t>
            </w: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val="en-US" w:eastAsia="nb-NO"/>
              </w:rPr>
            </w:pPr>
            <w:r w:rsidRPr="00176850">
              <w:rPr>
                <w:b/>
                <w:color w:val="000000"/>
                <w:lang w:val="en-US" w:eastAsia="nb-NO"/>
              </w:rPr>
              <w:t>0.118</w:t>
            </w:r>
          </w:p>
        </w:tc>
        <w:tc>
          <w:tcPr>
            <w:tcW w:w="1276" w:type="dxa"/>
            <w:noWrap/>
          </w:tcPr>
          <w:p w:rsidR="00A72E4E" w:rsidRPr="00176850" w:rsidRDefault="00A72E4E" w:rsidP="008D3CBC">
            <w:pPr>
              <w:spacing w:line="276" w:lineRule="auto"/>
              <w:ind w:right="164"/>
              <w:jc w:val="right"/>
              <w:rPr>
                <w:b/>
                <w:color w:val="000000"/>
                <w:lang w:val="en-US" w:eastAsia="nb-NO"/>
              </w:rPr>
            </w:pPr>
            <w:r w:rsidRPr="00176850">
              <w:rPr>
                <w:b/>
                <w:color w:val="000000"/>
                <w:lang w:val="en-US" w:eastAsia="nb-NO"/>
              </w:rPr>
              <w:t>2.962</w:t>
            </w:r>
          </w:p>
        </w:tc>
        <w:tc>
          <w:tcPr>
            <w:tcW w:w="997" w:type="dxa"/>
            <w:noWrap/>
          </w:tcPr>
          <w:p w:rsidR="00A72E4E" w:rsidRPr="00176850" w:rsidRDefault="00A72E4E" w:rsidP="008D3CBC">
            <w:pPr>
              <w:spacing w:line="276" w:lineRule="auto"/>
              <w:ind w:left="-238"/>
              <w:jc w:val="center"/>
              <w:rPr>
                <w:b/>
                <w:color w:val="000000"/>
                <w:lang w:val="en-US" w:eastAsia="nb-NO"/>
              </w:rPr>
            </w:pPr>
            <w:r w:rsidRPr="00176850">
              <w:rPr>
                <w:b/>
                <w:color w:val="000000"/>
                <w:lang w:val="en-US" w:eastAsia="nb-NO"/>
              </w:rPr>
              <w:t>0.003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b/>
                <w:color w:val="000000"/>
                <w:lang w:eastAsia="nb-NO"/>
              </w:rPr>
            </w:pPr>
            <w:r>
              <w:rPr>
                <w:b/>
                <w:color w:val="000000"/>
                <w:lang w:val="en-US" w:eastAsia="nb-NO"/>
              </w:rPr>
              <w:t xml:space="preserve">Region </w:t>
            </w:r>
            <w:r w:rsidRPr="00176850">
              <w:rPr>
                <w:b/>
                <w:color w:val="000000"/>
                <w:lang w:val="en-US" w:eastAsia="nb-NO"/>
              </w:rPr>
              <w:t>Varanger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0.946</w:t>
            </w: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0.469</w:t>
            </w:r>
          </w:p>
        </w:tc>
        <w:tc>
          <w:tcPr>
            <w:tcW w:w="1276" w:type="dxa"/>
            <w:noWrap/>
          </w:tcPr>
          <w:p w:rsidR="00A72E4E" w:rsidRPr="00176850" w:rsidRDefault="00A72E4E" w:rsidP="008D3CBC">
            <w:pPr>
              <w:spacing w:line="276" w:lineRule="auto"/>
              <w:ind w:right="164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2.017</w:t>
            </w:r>
          </w:p>
        </w:tc>
        <w:tc>
          <w:tcPr>
            <w:tcW w:w="997" w:type="dxa"/>
            <w:noWrap/>
          </w:tcPr>
          <w:p w:rsidR="00A72E4E" w:rsidRPr="00176850" w:rsidRDefault="00A72E4E" w:rsidP="008D3CBC">
            <w:pPr>
              <w:spacing w:line="276" w:lineRule="auto"/>
              <w:ind w:left="-238"/>
              <w:jc w:val="center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0.043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167991">
            <w:pPr>
              <w:spacing w:line="276" w:lineRule="auto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val="en-US" w:eastAsia="nb-NO"/>
              </w:rPr>
              <w:t>Factor</w:t>
            </w:r>
            <w:r>
              <w:rPr>
                <w:b/>
                <w:color w:val="000000"/>
                <w:lang w:val="en-US" w:eastAsia="nb-NO"/>
              </w:rPr>
              <w:t xml:space="preserve"> (Season</w:t>
            </w:r>
            <w:r w:rsidRPr="00176850">
              <w:rPr>
                <w:b/>
                <w:color w:val="000000"/>
                <w:lang w:val="en-US" w:eastAsia="nb-NO"/>
              </w:rPr>
              <w:t xml:space="preserve"> </w:t>
            </w:r>
            <w:r w:rsidRPr="00A02258">
              <w:rPr>
                <w:b/>
                <w:color w:val="000000"/>
                <w:lang w:val="en-US" w:eastAsia="nb-NO"/>
              </w:rPr>
              <w:t>05/06</w:t>
            </w:r>
            <w:r w:rsidRPr="00176850">
              <w:rPr>
                <w:b/>
                <w:color w:val="000000"/>
                <w:lang w:val="en-US" w:eastAsia="nb-NO"/>
              </w:rPr>
              <w:t>)</w:t>
            </w:r>
            <w:r w:rsidR="00F650AF">
              <w:rPr>
                <w:b/>
                <w:color w:val="000000"/>
                <w:lang w:val="en-US" w:eastAsia="nb-NO"/>
              </w:rPr>
              <w:t xml:space="preserve"> </w:t>
            </w:r>
            <w:r w:rsidR="00167991" w:rsidRPr="00F650AF">
              <w:rPr>
                <w:color w:val="000000"/>
                <w:vertAlign w:val="superscript"/>
                <w:lang w:val="en-US" w:eastAsia="nb-NO"/>
              </w:rPr>
              <w:t>b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-0.771</w:t>
            </w: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0.390</w:t>
            </w:r>
          </w:p>
        </w:tc>
        <w:tc>
          <w:tcPr>
            <w:tcW w:w="1276" w:type="dxa"/>
            <w:noWrap/>
          </w:tcPr>
          <w:p w:rsidR="00A72E4E" w:rsidRPr="00176850" w:rsidRDefault="00A72E4E" w:rsidP="008D3CBC">
            <w:pPr>
              <w:spacing w:line="276" w:lineRule="auto"/>
              <w:ind w:right="164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-1.982</w:t>
            </w:r>
          </w:p>
        </w:tc>
        <w:tc>
          <w:tcPr>
            <w:tcW w:w="997" w:type="dxa"/>
            <w:noWrap/>
          </w:tcPr>
          <w:p w:rsidR="00A72E4E" w:rsidRPr="00176850" w:rsidRDefault="00A72E4E" w:rsidP="008D3CBC">
            <w:pPr>
              <w:spacing w:line="276" w:lineRule="auto"/>
              <w:ind w:left="-238"/>
              <w:jc w:val="center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0.047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b/>
                <w:color w:val="000000"/>
                <w:lang w:eastAsia="nb-NO"/>
              </w:rPr>
            </w:pPr>
            <w:r>
              <w:rPr>
                <w:b/>
                <w:color w:val="000000"/>
                <w:lang w:val="en-US" w:eastAsia="nb-NO"/>
              </w:rPr>
              <w:t>Factor (Season</w:t>
            </w:r>
            <w:r w:rsidRPr="00176850">
              <w:rPr>
                <w:b/>
                <w:color w:val="000000"/>
                <w:lang w:val="en-US" w:eastAsia="nb-NO"/>
              </w:rPr>
              <w:t xml:space="preserve"> 06/07)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-0.758</w:t>
            </w: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0.382</w:t>
            </w:r>
          </w:p>
        </w:tc>
        <w:tc>
          <w:tcPr>
            <w:tcW w:w="1276" w:type="dxa"/>
            <w:noWrap/>
          </w:tcPr>
          <w:p w:rsidR="00A72E4E" w:rsidRPr="00176850" w:rsidRDefault="00A72E4E" w:rsidP="008D3CBC">
            <w:pPr>
              <w:spacing w:line="276" w:lineRule="auto"/>
              <w:ind w:right="164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-1.985</w:t>
            </w:r>
          </w:p>
        </w:tc>
        <w:tc>
          <w:tcPr>
            <w:tcW w:w="997" w:type="dxa"/>
            <w:noWrap/>
          </w:tcPr>
          <w:p w:rsidR="00A72E4E" w:rsidRPr="00176850" w:rsidRDefault="00A72E4E" w:rsidP="008D3CBC">
            <w:pPr>
              <w:spacing w:line="276" w:lineRule="auto"/>
              <w:ind w:left="-238"/>
              <w:jc w:val="center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0.047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</w:pPr>
            <w:r w:rsidRPr="00176850">
              <w:rPr>
                <w:color w:val="000000"/>
                <w:lang w:val="en-US" w:eastAsia="nb-NO"/>
              </w:rPr>
              <w:t>Factor</w:t>
            </w:r>
            <w:r>
              <w:rPr>
                <w:color w:val="000000"/>
                <w:lang w:val="en-US" w:eastAsia="nb-NO"/>
              </w:rPr>
              <w:t xml:space="preserve"> (Season</w:t>
            </w:r>
            <w:r w:rsidRPr="00176850">
              <w:rPr>
                <w:color w:val="000000"/>
                <w:lang w:val="en-US" w:eastAsia="nb-NO"/>
              </w:rPr>
              <w:t xml:space="preserve"> 07/08)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-0.451</w:t>
            </w: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0.547</w:t>
            </w:r>
          </w:p>
        </w:tc>
        <w:tc>
          <w:tcPr>
            <w:tcW w:w="1276" w:type="dxa"/>
            <w:noWrap/>
          </w:tcPr>
          <w:p w:rsidR="00A72E4E" w:rsidRPr="00176850" w:rsidRDefault="00A72E4E" w:rsidP="008D3CBC">
            <w:pPr>
              <w:spacing w:line="276" w:lineRule="auto"/>
              <w:ind w:right="164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-0.826</w:t>
            </w:r>
          </w:p>
        </w:tc>
        <w:tc>
          <w:tcPr>
            <w:tcW w:w="997" w:type="dxa"/>
            <w:noWrap/>
          </w:tcPr>
          <w:p w:rsidR="00A72E4E" w:rsidRPr="00176850" w:rsidRDefault="00A72E4E" w:rsidP="008D3CBC">
            <w:pPr>
              <w:spacing w:line="276" w:lineRule="auto"/>
              <w:ind w:left="-238"/>
              <w:jc w:val="center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0.408</w:t>
            </w:r>
          </w:p>
        </w:tc>
      </w:tr>
      <w:tr w:rsidR="00A72E4E" w:rsidRPr="00176850" w:rsidTr="008D3CBC">
        <w:trPr>
          <w:trHeight w:val="80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b/>
              </w:rPr>
            </w:pPr>
            <w:r w:rsidRPr="00176850">
              <w:rPr>
                <w:b/>
                <w:color w:val="000000"/>
                <w:lang w:val="en-US" w:eastAsia="nb-NO"/>
              </w:rPr>
              <w:t>Factor</w:t>
            </w:r>
            <w:r>
              <w:rPr>
                <w:b/>
                <w:color w:val="000000"/>
                <w:lang w:val="en-US" w:eastAsia="nb-NO"/>
              </w:rPr>
              <w:t xml:space="preserve"> (Season</w:t>
            </w:r>
            <w:r w:rsidRPr="00176850">
              <w:rPr>
                <w:b/>
                <w:color w:val="000000"/>
                <w:lang w:val="en-US" w:eastAsia="nb-NO"/>
              </w:rPr>
              <w:t xml:space="preserve"> 08/09)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1.129</w:t>
            </w: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0.524</w:t>
            </w:r>
          </w:p>
        </w:tc>
        <w:tc>
          <w:tcPr>
            <w:tcW w:w="1276" w:type="dxa"/>
            <w:noWrap/>
          </w:tcPr>
          <w:p w:rsidR="00A72E4E" w:rsidRPr="00176850" w:rsidRDefault="00A72E4E" w:rsidP="008D3CBC">
            <w:pPr>
              <w:spacing w:line="276" w:lineRule="auto"/>
              <w:ind w:right="164"/>
              <w:jc w:val="right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2.157</w:t>
            </w:r>
          </w:p>
        </w:tc>
        <w:tc>
          <w:tcPr>
            <w:tcW w:w="997" w:type="dxa"/>
            <w:noWrap/>
          </w:tcPr>
          <w:p w:rsidR="00A72E4E" w:rsidRPr="00176850" w:rsidRDefault="00A72E4E" w:rsidP="008D3CBC">
            <w:pPr>
              <w:spacing w:line="276" w:lineRule="auto"/>
              <w:ind w:left="-238"/>
              <w:jc w:val="center"/>
              <w:rPr>
                <w:b/>
                <w:color w:val="000000"/>
                <w:lang w:eastAsia="nb-NO"/>
              </w:rPr>
            </w:pPr>
            <w:r w:rsidRPr="00176850">
              <w:rPr>
                <w:b/>
                <w:color w:val="000000"/>
                <w:lang w:eastAsia="nb-NO"/>
              </w:rPr>
              <w:t>0.031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color w:val="000000"/>
                <w:lang w:eastAsia="nb-NO"/>
              </w:rPr>
            </w:pPr>
            <w:r>
              <w:rPr>
                <w:color w:val="000000"/>
                <w:lang w:val="en-US" w:eastAsia="nb-NO"/>
              </w:rPr>
              <w:t>M</w:t>
            </w:r>
            <w:r w:rsidRPr="00176850">
              <w:rPr>
                <w:color w:val="000000"/>
                <w:lang w:val="en-US" w:eastAsia="nb-NO"/>
              </w:rPr>
              <w:t>ale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-0.156</w:t>
            </w: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0.224</w:t>
            </w:r>
          </w:p>
        </w:tc>
        <w:tc>
          <w:tcPr>
            <w:tcW w:w="1276" w:type="dxa"/>
            <w:noWrap/>
          </w:tcPr>
          <w:p w:rsidR="00A72E4E" w:rsidRPr="00176850" w:rsidRDefault="00A72E4E" w:rsidP="008D3CBC">
            <w:pPr>
              <w:spacing w:line="276" w:lineRule="auto"/>
              <w:ind w:right="164"/>
              <w:jc w:val="right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-0.694</w:t>
            </w:r>
          </w:p>
        </w:tc>
        <w:tc>
          <w:tcPr>
            <w:tcW w:w="997" w:type="dxa"/>
            <w:noWrap/>
          </w:tcPr>
          <w:p w:rsidR="00A72E4E" w:rsidRPr="00176850" w:rsidRDefault="00A72E4E" w:rsidP="008D3CBC">
            <w:pPr>
              <w:spacing w:line="276" w:lineRule="auto"/>
              <w:ind w:left="-238"/>
              <w:jc w:val="center"/>
              <w:rPr>
                <w:color w:val="000000"/>
                <w:lang w:eastAsia="nb-NO"/>
              </w:rPr>
            </w:pPr>
            <w:r w:rsidRPr="00176850">
              <w:rPr>
                <w:color w:val="000000"/>
                <w:lang w:eastAsia="nb-NO"/>
              </w:rPr>
              <w:t>0.487</w:t>
            </w: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lang w:val="en-US"/>
              </w:rPr>
            </w:pP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color w:val="000000"/>
                <w:lang w:val="en-US" w:eastAsia="nb-NO"/>
              </w:rPr>
            </w:pP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center"/>
              <w:rPr>
                <w:lang w:val="en-US" w:eastAsia="nb-NO"/>
              </w:rPr>
            </w:pPr>
          </w:p>
        </w:tc>
        <w:tc>
          <w:tcPr>
            <w:tcW w:w="1276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lang w:val="en-US" w:eastAsia="nb-NO"/>
              </w:rPr>
            </w:pPr>
          </w:p>
        </w:tc>
        <w:tc>
          <w:tcPr>
            <w:tcW w:w="997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lang w:val="en-US" w:eastAsia="nb-NO"/>
              </w:rPr>
            </w:pPr>
          </w:p>
        </w:tc>
      </w:tr>
      <w:tr w:rsidR="00A72E4E" w:rsidRPr="00176850" w:rsidTr="00D36B41">
        <w:trPr>
          <w:trHeight w:val="283"/>
        </w:trPr>
        <w:tc>
          <w:tcPr>
            <w:tcW w:w="3681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lang w:val="en-US"/>
              </w:rPr>
            </w:pPr>
            <w:r w:rsidRPr="00176850">
              <w:rPr>
                <w:lang w:val="en-US"/>
              </w:rPr>
              <w:t>Null deviance: 516.31  on 372  d.f</w:t>
            </w:r>
          </w:p>
          <w:p w:rsidR="00A72E4E" w:rsidRPr="00176850" w:rsidRDefault="00A72E4E" w:rsidP="00D36B41">
            <w:pPr>
              <w:spacing w:line="276" w:lineRule="auto"/>
              <w:rPr>
                <w:color w:val="000000"/>
                <w:lang w:val="en-US" w:eastAsia="nb-NO"/>
              </w:rPr>
            </w:pPr>
            <w:r w:rsidRPr="00176850">
              <w:rPr>
                <w:lang w:val="en-US"/>
              </w:rPr>
              <w:t>Residual deviance: 466.22  on 365  d.f</w:t>
            </w:r>
          </w:p>
        </w:tc>
        <w:tc>
          <w:tcPr>
            <w:tcW w:w="986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color w:val="000000"/>
                <w:lang w:val="en-US" w:eastAsia="nb-NO"/>
              </w:rPr>
            </w:pPr>
          </w:p>
        </w:tc>
        <w:tc>
          <w:tcPr>
            <w:tcW w:w="1275" w:type="dxa"/>
            <w:noWrap/>
          </w:tcPr>
          <w:p w:rsidR="00A72E4E" w:rsidRPr="00176850" w:rsidRDefault="00A72E4E" w:rsidP="00D36B41">
            <w:pPr>
              <w:spacing w:line="276" w:lineRule="auto"/>
              <w:jc w:val="center"/>
              <w:rPr>
                <w:lang w:val="en-US" w:eastAsia="nb-NO"/>
              </w:rPr>
            </w:pPr>
          </w:p>
        </w:tc>
        <w:tc>
          <w:tcPr>
            <w:tcW w:w="1276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lang w:val="en-US" w:eastAsia="nb-NO"/>
              </w:rPr>
            </w:pPr>
          </w:p>
        </w:tc>
        <w:tc>
          <w:tcPr>
            <w:tcW w:w="997" w:type="dxa"/>
            <w:noWrap/>
          </w:tcPr>
          <w:p w:rsidR="00A72E4E" w:rsidRPr="00176850" w:rsidRDefault="00A72E4E" w:rsidP="00D36B41">
            <w:pPr>
              <w:spacing w:line="276" w:lineRule="auto"/>
              <w:rPr>
                <w:lang w:val="en-US" w:eastAsia="nb-NO"/>
              </w:rPr>
            </w:pPr>
          </w:p>
        </w:tc>
      </w:tr>
    </w:tbl>
    <w:p w:rsidR="00A72E4E" w:rsidRDefault="00A72E4E" w:rsidP="00A72E4E">
      <w:pPr>
        <w:rPr>
          <w:lang w:val="en-GB"/>
        </w:rPr>
      </w:pPr>
    </w:p>
    <w:p w:rsidR="00A72E4E" w:rsidRDefault="00167991" w:rsidP="00A72E4E">
      <w:pPr>
        <w:rPr>
          <w:lang w:val="en-GB"/>
        </w:rPr>
      </w:pPr>
      <w:r>
        <w:rPr>
          <w:vertAlign w:val="superscript"/>
          <w:lang w:val="en-GB"/>
        </w:rPr>
        <w:t xml:space="preserve">a </w:t>
      </w:r>
      <w:r w:rsidR="00A72E4E">
        <w:rPr>
          <w:lang w:val="en-GB"/>
        </w:rPr>
        <w:t xml:space="preserve">Trapping season for </w:t>
      </w:r>
      <w:r w:rsidR="00A72E4E" w:rsidRPr="009D1DEE">
        <w:rPr>
          <w:lang w:val="en-GB"/>
        </w:rPr>
        <w:t xml:space="preserve">arctic fox: </w:t>
      </w:r>
      <w:r w:rsidR="00F650AF" w:rsidRPr="009D1DEE">
        <w:rPr>
          <w:lang w:val="en-GB"/>
        </w:rPr>
        <w:t xml:space="preserve">1 </w:t>
      </w:r>
      <w:r w:rsidR="00A72E4E" w:rsidRPr="009D1DEE">
        <w:rPr>
          <w:lang w:val="en-US"/>
        </w:rPr>
        <w:t xml:space="preserve">November to </w:t>
      </w:r>
      <w:r w:rsidR="00F650AF" w:rsidRPr="009D1DEE">
        <w:rPr>
          <w:lang w:val="en-US"/>
        </w:rPr>
        <w:t xml:space="preserve">15 </w:t>
      </w:r>
      <w:r w:rsidR="00A72E4E" w:rsidRPr="009D1DEE">
        <w:rPr>
          <w:lang w:val="en-US"/>
        </w:rPr>
        <w:t>March.</w:t>
      </w:r>
      <w:r w:rsidR="00F650AF" w:rsidRPr="009D1DEE">
        <w:rPr>
          <w:lang w:val="en-GB"/>
        </w:rPr>
        <w:t xml:space="preserve"> </w:t>
      </w:r>
      <w:r w:rsidRPr="009D1DEE">
        <w:rPr>
          <w:vertAlign w:val="superscript"/>
          <w:lang w:val="en-GB"/>
        </w:rPr>
        <w:t>b</w:t>
      </w:r>
      <w:r>
        <w:rPr>
          <w:vertAlign w:val="superscript"/>
          <w:lang w:val="en-GB"/>
        </w:rPr>
        <w:t xml:space="preserve"> </w:t>
      </w:r>
      <w:r w:rsidR="00A72E4E">
        <w:rPr>
          <w:lang w:val="en-GB"/>
        </w:rPr>
        <w:t xml:space="preserve">Hunting season for red fox: </w:t>
      </w:r>
      <w:r w:rsidR="00A72E4E">
        <w:rPr>
          <w:lang w:val="en-US"/>
        </w:rPr>
        <w:t>September to May.</w:t>
      </w:r>
      <w:r w:rsidR="00A72E4E" w:rsidRPr="005214B2">
        <w:rPr>
          <w:lang w:val="en-US"/>
        </w:rPr>
        <w:t xml:space="preserve"> </w:t>
      </w:r>
    </w:p>
    <w:p w:rsidR="00A72E4E" w:rsidRDefault="00A72E4E" w:rsidP="00A72E4E">
      <w:pPr>
        <w:rPr>
          <w:lang w:val="en-US"/>
        </w:rPr>
      </w:pPr>
    </w:p>
    <w:p w:rsidR="00A72E4E" w:rsidRDefault="00A72E4E">
      <w:bookmarkStart w:id="0" w:name="_GoBack"/>
      <w:bookmarkEnd w:id="0"/>
    </w:p>
    <w:sectPr w:rsidR="00A72E4E" w:rsidSect="00DC21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4E"/>
    <w:rsid w:val="00167991"/>
    <w:rsid w:val="008D3CBC"/>
    <w:rsid w:val="009D1DEE"/>
    <w:rsid w:val="00A72E4E"/>
    <w:rsid w:val="00DC215B"/>
    <w:rsid w:val="00EC6F76"/>
    <w:rsid w:val="00F6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390E6C8-02FB-8049-BDA2-B6D0D9FD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E4E"/>
    <w:rPr>
      <w:rFonts w:ascii="Times New Roman" w:eastAsia="Times New Roman" w:hAnsi="Times New Roman" w:cs="Times New Roman"/>
      <w:lang w:val="it-IT" w:eastAsia="it-IT"/>
    </w:rPr>
  </w:style>
  <w:style w:type="paragraph" w:styleId="Heading1">
    <w:name w:val="heading 1"/>
    <w:basedOn w:val="Normal"/>
    <w:next w:val="Normal"/>
    <w:link w:val="Heading1Char"/>
    <w:qFormat/>
    <w:rsid w:val="001679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A72E4E"/>
    <w:rPr>
      <w:rFonts w:eastAsiaTheme="minorHAnsi"/>
      <w:sz w:val="22"/>
      <w:szCs w:val="22"/>
      <w:lang w:val="nb-N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rticletitle">
    <w:name w:val="Article title"/>
    <w:basedOn w:val="Normal"/>
    <w:next w:val="Normal"/>
    <w:qFormat/>
    <w:rsid w:val="00167991"/>
    <w:pPr>
      <w:spacing w:after="120" w:line="360" w:lineRule="auto"/>
    </w:pPr>
    <w:rPr>
      <w:rFonts w:eastAsiaTheme="minorEastAsia"/>
      <w:b/>
      <w:sz w:val="28"/>
      <w:lang w:val="en-GB" w:eastAsia="en-GB"/>
    </w:rPr>
  </w:style>
  <w:style w:type="character" w:styleId="Hyperlink">
    <w:name w:val="Hyperlink"/>
    <w:basedOn w:val="DefaultParagraphFont"/>
    <w:unhideWhenUsed/>
    <w:rsid w:val="0016799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67991"/>
    <w:rPr>
      <w:rFonts w:ascii="Arial" w:eastAsia="Times New Roman" w:hAnsi="Arial" w:cs="Arial"/>
      <w:b/>
      <w:bCs/>
      <w:kern w:val="32"/>
      <w:sz w:val="32"/>
      <w:szCs w:val="32"/>
      <w:lang w:val="it-IT"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16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9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991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ten.tryland@ui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Tryland</dc:creator>
  <cp:keywords/>
  <dc:description/>
  <cp:lastModifiedBy>Helle Goldman</cp:lastModifiedBy>
  <cp:revision>4</cp:revision>
  <dcterms:created xsi:type="dcterms:W3CDTF">2018-07-04T10:07:00Z</dcterms:created>
  <dcterms:modified xsi:type="dcterms:W3CDTF">2018-07-05T10:48:00Z</dcterms:modified>
</cp:coreProperties>
</file>