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F9732" w14:textId="77777777" w:rsidR="00082E8F" w:rsidRDefault="00082E8F" w:rsidP="00082E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7E9E">
        <w:rPr>
          <w:rFonts w:ascii="Times New Roman" w:hAnsi="Times New Roman" w:cs="Times New Roman"/>
          <w:b/>
          <w:sz w:val="24"/>
          <w:szCs w:val="24"/>
          <w:lang w:val="en-GB"/>
        </w:rPr>
        <w:t>Supplementary material for</w:t>
      </w:r>
      <w:r w:rsidRPr="00457E9E">
        <w:rPr>
          <w:rFonts w:ascii="Times New Roman" w:hAnsi="Times New Roman" w:cs="Times New Roman"/>
          <w:sz w:val="24"/>
          <w:szCs w:val="24"/>
          <w:lang w:val="en-GB"/>
        </w:rPr>
        <w:t xml:space="preserve">: Ackerman D. 2018. </w:t>
      </w:r>
      <w:r w:rsidRPr="00FE10D8">
        <w:rPr>
          <w:rFonts w:ascii="Times New Roman" w:hAnsi="Times New Roman" w:cs="Times New Roman"/>
          <w:sz w:val="24"/>
          <w:szCs w:val="24"/>
        </w:rPr>
        <w:t>Shrub-induced snowpack variability alters wintertime soil respiration across a simulated tundra landscape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D3CCF">
        <w:rPr>
          <w:rFonts w:ascii="Times New Roman" w:hAnsi="Times New Roman" w:cs="Times New Roman"/>
          <w:bCs/>
          <w:i/>
          <w:sz w:val="24"/>
          <w:szCs w:val="24"/>
          <w:lang w:val="en-GB"/>
        </w:rPr>
        <w:t>Polar Research 37.</w:t>
      </w:r>
      <w:r w:rsidRPr="006D3CC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Contact: </w:t>
      </w:r>
      <w:r w:rsidRPr="00FE10D8">
        <w:rPr>
          <w:rFonts w:ascii="Times New Roman" w:hAnsi="Times New Roman" w:cs="Times New Roman"/>
          <w:sz w:val="24"/>
          <w:szCs w:val="24"/>
        </w:rPr>
        <w:t>Daniel Ackerman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10D8">
        <w:rPr>
          <w:rFonts w:ascii="Times New Roman" w:hAnsi="Times New Roman" w:cs="Times New Roman"/>
          <w:sz w:val="24"/>
          <w:szCs w:val="24"/>
        </w:rPr>
        <w:t>University of Minnesota Department of Ecology, Evolution, and Behavior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10D8">
        <w:rPr>
          <w:rFonts w:ascii="Times New Roman" w:hAnsi="Times New Roman" w:cs="Times New Roman"/>
          <w:sz w:val="24"/>
          <w:szCs w:val="24"/>
        </w:rPr>
        <w:t xml:space="preserve">140 Gortner Laboratory, 1470 Gortner Avenue, St. Paul, MN 55108, </w:t>
      </w:r>
      <w:r>
        <w:rPr>
          <w:rFonts w:ascii="Times New Roman" w:hAnsi="Times New Roman" w:cs="Times New Roman"/>
          <w:sz w:val="24"/>
          <w:szCs w:val="24"/>
        </w:rPr>
        <w:t>USA. E</w:t>
      </w:r>
      <w:r w:rsidRPr="006D398C">
        <w:rPr>
          <w:rFonts w:ascii="Times New Roman" w:hAnsi="Times New Roman" w:cs="Times New Roman"/>
          <w:sz w:val="24"/>
          <w:szCs w:val="24"/>
        </w:rPr>
        <w:t>-mail:</w:t>
      </w:r>
      <w:r w:rsidRPr="00FE10D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57E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dackerma@umn.edu</w:t>
        </w:r>
      </w:hyperlink>
    </w:p>
    <w:p w14:paraId="52A82A16" w14:textId="77777777" w:rsidR="00082E8F" w:rsidRDefault="00082E8F" w:rsidP="00082E8F">
      <w:pPr>
        <w:ind w:left="360" w:hanging="36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18636E6D" w14:textId="77777777" w:rsidR="00082E8F" w:rsidRDefault="00082E8F" w:rsidP="008C072E">
      <w:pPr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Equations used to simulate wintertime soil respiration.</w:t>
      </w:r>
    </w:p>
    <w:p w14:paraId="39901CAC" w14:textId="77777777" w:rsidR="00082E8F" w:rsidRDefault="00082E8F" w:rsidP="00082E8F">
      <w:pPr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70EC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02259" wp14:editId="78B2721E">
                <wp:simplePos x="0" y="0"/>
                <wp:positionH relativeFrom="column">
                  <wp:posOffset>1685925</wp:posOffset>
                </wp:positionH>
                <wp:positionV relativeFrom="paragraph">
                  <wp:posOffset>175260</wp:posOffset>
                </wp:positionV>
                <wp:extent cx="3052374" cy="281937"/>
                <wp:effectExtent l="0" t="0" r="0" b="0"/>
                <wp:wrapNone/>
                <wp:docPr id="3" name="TextBox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374" cy="2819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B6F7C5" w14:textId="77777777" w:rsidR="00082E8F" w:rsidRPr="006870EC" w:rsidRDefault="00082E8F" w:rsidP="00082E8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36"/>
                                  </w:rPr>
                                  <m:t>T=-40+40(1 -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  <m:t>-0.0625d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36"/>
                                  </w:rPr>
                                  <m:t>) 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80225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32.75pt;margin-top:13.8pt;width:240.35pt;height:22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" filled="f" stroked="f">
                <v:textbox style="mso-fit-shape-to-text:t" inset="0,0,0,0">
                  <w:txbxContent>
                    <w:p w14:paraId="3FB6F7C5" w14:textId="77777777" w:rsidR="00082E8F" w:rsidRPr="006870EC" w:rsidRDefault="00082E8F" w:rsidP="00082E8F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36"/>
                            </w:rPr>
                            <m:t>T=-40+40(1 -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m:t>-0.0625d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36"/>
                            </w:rPr>
                            <m:t>) 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8A8BA7D" w14:textId="77777777" w:rsidR="00082E8F" w:rsidRDefault="00082E8F" w:rsidP="00082E8F">
      <w:pPr>
        <w:ind w:left="360" w:hanging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C073C9B" w14:textId="674FE7E7" w:rsidR="00082E8F" w:rsidRDefault="00082E8F" w:rsidP="008C072E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70E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Equation 1.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Relationship between snow depth and ground temperature. This equation was parameterized with data collected </w:t>
      </w:r>
      <w:r w:rsidRPr="006870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the Northern Brooks Range Foothills </w:t>
      </w:r>
      <w:r w:rsidR="00BA6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</w:t>
      </w:r>
      <w:r w:rsidRPr="006870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reported by Zhang (2005,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r w:rsidRPr="006870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igure 10)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In the simulations, snow depth was elevated in and immediately leeward of shrub patches, while snow depth was reduced in tussock tundra patches not immediately leeward of shrub patches. </w:t>
      </w:r>
      <w:r w:rsidRPr="006870E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= ground temperature (°C); </w:t>
      </w:r>
      <w:r w:rsidRPr="006870E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= snow depth (cm).</w:t>
      </w:r>
    </w:p>
    <w:p w14:paraId="2CACCF11" w14:textId="77777777" w:rsidR="00082E8F" w:rsidRDefault="00082E8F" w:rsidP="00082E8F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E67C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0D52B" wp14:editId="168EBE98">
                <wp:simplePos x="0" y="0"/>
                <wp:positionH relativeFrom="column">
                  <wp:posOffset>2114550</wp:posOffset>
                </wp:positionH>
                <wp:positionV relativeFrom="paragraph">
                  <wp:posOffset>213360</wp:posOffset>
                </wp:positionV>
                <wp:extent cx="2077748" cy="280077"/>
                <wp:effectExtent l="0" t="0" r="0" b="0"/>
                <wp:wrapNone/>
                <wp:docPr id="7" name="TextBox 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748" cy="2800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3C74DF" w14:textId="77777777" w:rsidR="00082E8F" w:rsidRPr="006E67C1" w:rsidRDefault="00082E8F" w:rsidP="00082E8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36"/>
                                  </w:rPr>
                                  <m:t>R=75.540*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  <m:t>0.450T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0D52B" id="TextBox 4" o:spid="_x0000_s1027" type="#_x0000_t202" style="position:absolute;left:0;text-align:left;margin-left:166.5pt;margin-top:16.8pt;width:163.6pt;height:22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" filled="f" stroked="f">
                <v:textbox style="mso-fit-shape-to-text:t" inset="0,0,0,0">
                  <w:txbxContent>
                    <w:p w14:paraId="253C74DF" w14:textId="77777777" w:rsidR="00082E8F" w:rsidRPr="006E67C1" w:rsidRDefault="00082E8F" w:rsidP="00082E8F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36"/>
                            </w:rPr>
                            <m:t>R=75.540*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m:t>0.450T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C9080F6" w14:textId="77777777" w:rsidR="00082E8F" w:rsidRDefault="00082E8F" w:rsidP="00082E8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EB049A3" w14:textId="77777777" w:rsidR="00082E8F" w:rsidRDefault="00082E8F" w:rsidP="008C072E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E67C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Equation 2.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Relationship between ground temperature and soil respiration for tussock tundra patches. This equation was parameterized and presented by Mikan et al. (2002). This parameterization assumes sub-freezing temperatures and a constant temperature dependence of respiration. </w:t>
      </w:r>
      <w:r w:rsidRPr="00130F1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= soil respiration (μg CO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-C g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soil C day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-1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); </w:t>
      </w:r>
      <w:r w:rsidRPr="00130F1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T</w:t>
      </w:r>
      <w:r w:rsidRPr="00130F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= ground temperature (°C)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C05DE2F" w14:textId="77777777" w:rsidR="00082E8F" w:rsidRDefault="00082E8F" w:rsidP="00082E8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30F1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29D50" wp14:editId="19CA0CF0">
                <wp:simplePos x="0" y="0"/>
                <wp:positionH relativeFrom="column">
                  <wp:posOffset>2162175</wp:posOffset>
                </wp:positionH>
                <wp:positionV relativeFrom="paragraph">
                  <wp:posOffset>189767</wp:posOffset>
                </wp:positionV>
                <wp:extent cx="2077748" cy="280077"/>
                <wp:effectExtent l="0" t="0" r="0" b="0"/>
                <wp:wrapNone/>
                <wp:docPr id="8" name="TextBox 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748" cy="2800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D094A5" w14:textId="77777777" w:rsidR="00082E8F" w:rsidRPr="00130F1D" w:rsidRDefault="00082E8F" w:rsidP="00082E8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36"/>
                                  </w:rPr>
                                  <m:t>R=64.477*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  <m:t>0.415T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329D50" id="TextBox 5" o:spid="_x0000_s1028" type="#_x0000_t202" style="position:absolute;margin-left:170.25pt;margin-top:14.95pt;width:163.6pt;height:22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" filled="f" stroked="f">
                <v:textbox style="mso-fit-shape-to-text:t" inset="0,0,0,0">
                  <w:txbxContent>
                    <w:p w14:paraId="41D094A5" w14:textId="77777777" w:rsidR="00082E8F" w:rsidRPr="00130F1D" w:rsidRDefault="00082E8F" w:rsidP="00082E8F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36"/>
                            </w:rPr>
                            <m:t>R=64.477*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m:t>0.415T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829A775" w14:textId="77777777" w:rsidR="00082E8F" w:rsidRDefault="00082E8F" w:rsidP="00082E8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10A3369" w14:textId="0225FEAB" w:rsidR="00082E8F" w:rsidRPr="00BA6D23" w:rsidRDefault="00082E8F" w:rsidP="00082E8F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A6D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Equation </w:t>
      </w:r>
      <w:r w:rsidR="008C072E" w:rsidRPr="00BA6D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 w:rsidRPr="00BA6D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Pr="00BA6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Relationship between ground temperature and soil respiration for shrub patches. This equation was parameterized and presented by Mikan et al. (2002).</w:t>
      </w:r>
      <w:r w:rsidRPr="00BA6D23">
        <w:t xml:space="preserve"> </w:t>
      </w:r>
      <w:r w:rsidRPr="00BA6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parameterization assumes sub-freezing temperatures and a constant temperature dependence of respiration. </w:t>
      </w:r>
      <w:r w:rsidRPr="00BA6D2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R</w:t>
      </w:r>
      <w:r w:rsidRPr="00BA6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= soil respiration (μg CO</w:t>
      </w:r>
      <w:r w:rsidRPr="00BA6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BA6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-C g</w:t>
      </w:r>
      <w:r w:rsidRPr="00BA6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-1</w:t>
      </w:r>
      <w:r w:rsidRPr="00BA6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soil C day</w:t>
      </w:r>
      <w:r w:rsidRPr="00BA6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-1</w:t>
      </w:r>
      <w:r w:rsidRPr="00BA6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); </w:t>
      </w:r>
      <w:r w:rsidRPr="00BA6D2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T</w:t>
      </w:r>
      <w:r w:rsidRPr="00BA6D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= ground temperature (°C).</w:t>
      </w:r>
    </w:p>
    <w:p w14:paraId="1F62F8F2" w14:textId="77777777" w:rsidR="008C072E" w:rsidRPr="00BA6D23" w:rsidRDefault="008C07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2F51F6D" w14:textId="77777777" w:rsidR="005C13E0" w:rsidRPr="00BA6D23" w:rsidRDefault="008C072E">
      <w:pPr>
        <w:rPr>
          <w:rFonts w:ascii="Times New Roman" w:hAnsi="Times New Roman" w:cs="Times New Roman"/>
          <w:b/>
          <w:sz w:val="24"/>
          <w:szCs w:val="24"/>
        </w:rPr>
      </w:pPr>
      <w:r w:rsidRPr="00BA6D23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00C36554" w14:textId="77777777" w:rsidR="008C072E" w:rsidRPr="00BA6D23" w:rsidRDefault="008C072E" w:rsidP="008C072E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6D23">
        <w:rPr>
          <w:rFonts w:ascii="Times New Roman" w:hAnsi="Times New Roman" w:cs="Times New Roman"/>
          <w:sz w:val="24"/>
          <w:szCs w:val="24"/>
          <w:shd w:val="clear" w:color="auto" w:fill="FFFFFF"/>
        </w:rPr>
        <w:t>Mikan C.J., Schimel J.P. &amp; Doyle A.P. 2002. Temperature controls of microbial respiration in Arctic tundra soils above and below freezing. </w:t>
      </w:r>
      <w:r w:rsidRPr="00BA6D2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Soil Biology and Biochemistry</w:t>
      </w:r>
      <w:r w:rsidRPr="00BA6D2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A6D2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Pr="00BA6D23">
        <w:rPr>
          <w:rFonts w:ascii="Times New Roman" w:hAnsi="Times New Roman" w:cs="Times New Roman"/>
          <w:sz w:val="24"/>
          <w:szCs w:val="24"/>
          <w:shd w:val="clear" w:color="auto" w:fill="FFFFFF"/>
        </w:rPr>
        <w:t>, 1785-1795.</w:t>
      </w:r>
    </w:p>
    <w:p w14:paraId="6A33B3F2" w14:textId="77777777" w:rsidR="008C072E" w:rsidRPr="008C072E" w:rsidRDefault="008C072E" w:rsidP="008C072E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6D23">
        <w:rPr>
          <w:rFonts w:ascii="Times New Roman" w:hAnsi="Times New Roman" w:cs="Times New Roman"/>
          <w:sz w:val="24"/>
          <w:szCs w:val="24"/>
          <w:shd w:val="clear" w:color="auto" w:fill="FFFFFF"/>
        </w:rPr>
        <w:t>Zhang T. 2005. Influence of the seasonal snow cover on the ground thermal regime: an overview. </w:t>
      </w:r>
      <w:r w:rsidRPr="00BA6D2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Reviews of Geophysics</w:t>
      </w:r>
      <w:r w:rsidRPr="00BA6D2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A6D2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43</w:t>
      </w:r>
      <w:r w:rsidRPr="00BA6D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(4), </w:t>
      </w:r>
      <w:r w:rsidRPr="00BA6D23">
        <w:rPr>
          <w:rFonts w:ascii="Times New Roman" w:hAnsi="Times New Roman" w:cs="Times New Roman"/>
          <w:sz w:val="24"/>
          <w:szCs w:val="24"/>
          <w:lang w:val="en"/>
        </w:rPr>
        <w:t>RG4002, doi: 10.1029/2004RG000157.</w:t>
      </w:r>
    </w:p>
    <w:p w14:paraId="5C8B2FC4" w14:textId="77777777" w:rsidR="008C072E" w:rsidRDefault="008C072E"/>
    <w:sectPr w:rsidR="008C072E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5F04DD" w16cid:durableId="1E804636"/>
  <w16cid:commentId w16cid:paraId="3AF4718B" w16cid:durableId="1E80468C"/>
  <w16cid:commentId w16cid:paraId="134A7C89" w16cid:durableId="1E804637"/>
  <w16cid:commentId w16cid:paraId="0E8D2524" w16cid:durableId="1E8046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46C96" w14:textId="77777777" w:rsidR="00C10C61" w:rsidRDefault="00C10C61" w:rsidP="008C072E">
      <w:pPr>
        <w:spacing w:after="0"/>
      </w:pPr>
      <w:r>
        <w:separator/>
      </w:r>
    </w:p>
  </w:endnote>
  <w:endnote w:type="continuationSeparator" w:id="0">
    <w:p w14:paraId="0107624A" w14:textId="77777777" w:rsidR="00C10C61" w:rsidRDefault="00C10C61" w:rsidP="008C07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338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961A9" w14:textId="7B6685AA" w:rsidR="008C072E" w:rsidRDefault="008C07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D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F48535" w14:textId="77777777" w:rsidR="008C072E" w:rsidRDefault="008C07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D432F" w14:textId="77777777" w:rsidR="00C10C61" w:rsidRDefault="00C10C61" w:rsidP="008C072E">
      <w:pPr>
        <w:spacing w:after="0"/>
      </w:pPr>
      <w:r>
        <w:separator/>
      </w:r>
    </w:p>
  </w:footnote>
  <w:footnote w:type="continuationSeparator" w:id="0">
    <w:p w14:paraId="2306ACD7" w14:textId="77777777" w:rsidR="00C10C61" w:rsidRDefault="00C10C61" w:rsidP="008C07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8F"/>
    <w:rsid w:val="00082E8F"/>
    <w:rsid w:val="00380231"/>
    <w:rsid w:val="005E534B"/>
    <w:rsid w:val="008C072E"/>
    <w:rsid w:val="00A5457C"/>
    <w:rsid w:val="00BA6D23"/>
    <w:rsid w:val="00BF2F8D"/>
    <w:rsid w:val="00C10C61"/>
    <w:rsid w:val="00F7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6C95"/>
  <w15:chartTrackingRefBased/>
  <w15:docId w15:val="{7F906BEB-2538-487D-BBE4-1298E766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E8F"/>
    <w:pPr>
      <w:spacing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E8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2E8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0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7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72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2E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2E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07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072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07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072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ckerma@umn.edu" TargetMode="Externa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Norsk Polarinstitutt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Goldman</dc:creator>
  <cp:keywords/>
  <dc:description/>
  <cp:lastModifiedBy>Helle Goldman</cp:lastModifiedBy>
  <cp:revision>2</cp:revision>
  <dcterms:created xsi:type="dcterms:W3CDTF">2018-04-18T13:34:00Z</dcterms:created>
  <dcterms:modified xsi:type="dcterms:W3CDTF">2018-04-18T13:34:00Z</dcterms:modified>
</cp:coreProperties>
</file>